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88">
        <w:rPr>
          <w:rFonts w:ascii="Times New Roman" w:eastAsia="Times New Roman" w:hAnsi="Times New Roman"/>
          <w:sz w:val="28"/>
          <w:szCs w:val="28"/>
          <w:lang w:eastAsia="ru-RU"/>
        </w:rPr>
        <w:t>МІНІСТЕРСТВО ОСВІТИ І НАУКИ УКРАЇНИ</w:t>
      </w: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88">
        <w:rPr>
          <w:rFonts w:ascii="Times New Roman" w:eastAsia="Times New Roman" w:hAnsi="Times New Roman"/>
          <w:sz w:val="28"/>
          <w:szCs w:val="28"/>
          <w:lang w:eastAsia="ru-RU"/>
        </w:rPr>
        <w:t xml:space="preserve">Харківський національний університет імені В.Н. </w:t>
      </w:r>
      <w:proofErr w:type="spellStart"/>
      <w:r w:rsidRPr="00830688">
        <w:rPr>
          <w:rFonts w:ascii="Times New Roman" w:eastAsia="Times New Roman" w:hAnsi="Times New Roman"/>
          <w:sz w:val="28"/>
          <w:szCs w:val="28"/>
          <w:lang w:eastAsia="ru-RU"/>
        </w:rPr>
        <w:t>Каразіна</w:t>
      </w:r>
      <w:proofErr w:type="spellEnd"/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88">
        <w:rPr>
          <w:rFonts w:ascii="Times New Roman" w:eastAsia="Times New Roman" w:hAnsi="Times New Roman"/>
          <w:sz w:val="28"/>
          <w:szCs w:val="28"/>
          <w:lang w:eastAsia="ru-RU"/>
        </w:rPr>
        <w:t>Факультет геології, географії, рекреації і туризму</w:t>
      </w: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88">
        <w:rPr>
          <w:rFonts w:ascii="Times New Roman" w:eastAsia="Times New Roman" w:hAnsi="Times New Roman"/>
          <w:sz w:val="28"/>
          <w:szCs w:val="28"/>
          <w:lang w:eastAsia="ru-RU"/>
        </w:rPr>
        <w:t>Кафедра фундаментальної та прикладної геології</w:t>
      </w: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Практичне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завдання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Pr="00830688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  <w:r w:rsidRPr="00830688">
        <w:rPr>
          <w:rFonts w:ascii="Times New Roman" w:eastAsia="Times New Roman" w:hAnsi="Times New Roman"/>
          <w:sz w:val="28"/>
          <w:szCs w:val="28"/>
          <w:lang w:eastAsia="ru-RU"/>
        </w:rPr>
        <w:t xml:space="preserve"> студентів</w:t>
      </w:r>
    </w:p>
    <w:p w:rsidR="00830688" w:rsidRPr="00830688" w:rsidRDefault="00830688" w:rsidP="00830688">
      <w:pPr>
        <w:suppressAutoHyphens w:val="0"/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88">
        <w:rPr>
          <w:rFonts w:ascii="Times New Roman" w:eastAsia="Times New Roman" w:hAnsi="Times New Roman"/>
          <w:sz w:val="28"/>
          <w:szCs w:val="28"/>
          <w:lang w:eastAsia="ru-RU"/>
        </w:rPr>
        <w:t>з курсу</w:t>
      </w: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830688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С</w:t>
      </w:r>
      <w:bookmarkStart w:id="0" w:name="_GoBack"/>
      <w:bookmarkEnd w:id="0"/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пеціальна</w:t>
      </w:r>
      <w:r w:rsidRPr="00830688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гідрогеологія»</w:t>
      </w: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830688" w:rsidRPr="00830688" w:rsidRDefault="00830688" w:rsidP="00830688">
      <w:pPr>
        <w:suppressAutoHyphens w:val="0"/>
        <w:spacing w:line="360" w:lineRule="auto"/>
        <w:ind w:left="36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830688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Харків - 2022</w:t>
      </w:r>
    </w:p>
    <w:p w:rsidR="00830688" w:rsidRDefault="00830688" w:rsidP="00830688">
      <w:pPr>
        <w:suppressAutoHyphens w:val="0"/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</w:p>
    <w:p w:rsidR="00830688" w:rsidRDefault="00830688" w:rsidP="00830688">
      <w:pPr>
        <w:suppressAutoHyphens w:val="0"/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lastRenderedPageBreak/>
        <w:t>Практична</w:t>
      </w:r>
      <w:proofErr w:type="gramEnd"/>
      <w:r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 робота</w:t>
      </w:r>
    </w:p>
    <w:p w:rsidR="00C8609C" w:rsidRPr="00830688" w:rsidRDefault="00C8609C" w:rsidP="00830688">
      <w:pPr>
        <w:suppressAutoHyphens w:val="0"/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83068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Визначення дебіту свердловин</w:t>
      </w:r>
    </w:p>
    <w:p w:rsidR="00C8609C" w:rsidRPr="00C8609C" w:rsidRDefault="00C8609C" w:rsidP="00C8609C">
      <w:pPr>
        <w:keepNext/>
        <w:widowControl w:val="0"/>
        <w:suppressAutoHyphens w:val="0"/>
        <w:spacing w:before="2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keepNext/>
        <w:widowControl w:val="0"/>
        <w:numPr>
          <w:ilvl w:val="1"/>
          <w:numId w:val="3"/>
        </w:numPr>
        <w:suppressAutoHyphens w:val="0"/>
        <w:spacing w:before="20"/>
        <w:outlineLvl w:val="1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860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Поняття про водозабірні споруди</w:t>
      </w:r>
    </w:p>
    <w:p w:rsidR="00C8609C" w:rsidRPr="00C8609C" w:rsidRDefault="00C8609C" w:rsidP="00C8609C">
      <w:pPr>
        <w:suppressAutoHyphens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Для водопостачання та інших потреб підземні води можуть видобуватися за допомогою спеціальних інженерних споруд, які називаються водозабірними. За особливостями розкриття водоносних горизонтів вони поділяються на вертикальні та горизонтальні.</w:t>
      </w:r>
    </w:p>
    <w:p w:rsidR="00C8609C" w:rsidRPr="00C8609C" w:rsidRDefault="00C8609C" w:rsidP="00C8609C">
      <w:pPr>
        <w:suppressAutoHyphens w:val="0"/>
        <w:ind w:firstLine="709"/>
        <w:rPr>
          <w:rFonts w:ascii="Times New Roman" w:eastAsia="Times New Roman" w:hAnsi="Times New Roman"/>
          <w:spacing w:val="2"/>
          <w:kern w:val="16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pacing w:val="2"/>
          <w:kern w:val="16"/>
          <w:sz w:val="24"/>
          <w:szCs w:val="24"/>
          <w:lang w:eastAsia="ru-RU"/>
        </w:rPr>
        <w:t>До вертикальних водозаборів належать бурові свердловини, шахтні колодязі; до горизонтальних – каптажні галереї, канали, трубчасті дрени, кяризи тощо.</w:t>
      </w:r>
    </w:p>
    <w:p w:rsidR="00C8609C" w:rsidRPr="00C8609C" w:rsidRDefault="00C8609C" w:rsidP="00C8609C">
      <w:pPr>
        <w:suppressAutoHyphens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Залежно від того, які водоносні горизонти розкриваються – ґрунтові чи напірні, водозабірні споруди поділяються на ґрунтові й артезіанські.</w:t>
      </w:r>
    </w:p>
    <w:p w:rsidR="00C8609C" w:rsidRPr="00C8609C" w:rsidRDefault="00C8609C" w:rsidP="00C8609C">
      <w:pPr>
        <w:suppressAutoHyphens w:val="0"/>
        <w:ind w:firstLine="709"/>
        <w:rPr>
          <w:rFonts w:ascii="Times New Roman" w:eastAsia="Times New Roman" w:hAnsi="Times New Roman"/>
          <w:spacing w:val="2"/>
          <w:kern w:val="16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pacing w:val="2"/>
          <w:kern w:val="16"/>
          <w:sz w:val="24"/>
          <w:szCs w:val="24"/>
          <w:lang w:eastAsia="ru-RU"/>
        </w:rPr>
        <w:t xml:space="preserve">Розрізняють досконалі і недосконалі гірничі виробки. Під </w:t>
      </w:r>
      <w:r w:rsidRPr="00C8609C">
        <w:rPr>
          <w:rFonts w:ascii="Times New Roman" w:eastAsia="Times New Roman" w:hAnsi="Times New Roman"/>
          <w:i/>
          <w:spacing w:val="2"/>
          <w:kern w:val="16"/>
          <w:sz w:val="24"/>
          <w:szCs w:val="24"/>
          <w:lang w:eastAsia="ru-RU"/>
        </w:rPr>
        <w:t>досконалими</w:t>
      </w:r>
      <w:r w:rsidRPr="00C8609C">
        <w:rPr>
          <w:rFonts w:ascii="Times New Roman" w:eastAsia="Times New Roman" w:hAnsi="Times New Roman"/>
          <w:spacing w:val="2"/>
          <w:kern w:val="16"/>
          <w:sz w:val="24"/>
          <w:szCs w:val="24"/>
          <w:lang w:eastAsia="ru-RU"/>
        </w:rPr>
        <w:t xml:space="preserve"> розуміються виробки, які розкривають водоносний пласт на всю його товщину (рис. 1). Вода в такі виробки надходить через стінки в інтервалі, що відповідає товщині напірного (а) та ґрунтового пласта біля свердловини (б).</w:t>
      </w:r>
    </w:p>
    <w:bookmarkStart w:id="1" w:name="_MON_1159607601"/>
    <w:bookmarkStart w:id="2" w:name="_MON_1159859740"/>
    <w:bookmarkStart w:id="3" w:name="_MON_1192212049"/>
    <w:bookmarkEnd w:id="1"/>
    <w:bookmarkEnd w:id="2"/>
    <w:bookmarkEnd w:id="3"/>
    <w:bookmarkStart w:id="4" w:name="_MON_1159607344"/>
    <w:bookmarkEnd w:id="4"/>
    <w:p w:rsidR="00C8609C" w:rsidRPr="00C8609C" w:rsidRDefault="00C8609C" w:rsidP="00C8609C">
      <w:pPr>
        <w:suppressAutoHyphens w:val="0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object w:dxaOrig="5491" w:dyaOrig="2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75pt;height:144.75pt" o:ole="" fillcolor="window">
            <v:imagedata r:id="rId6" o:title=""/>
          </v:shape>
          <o:OLEObject Type="Embed" ProgID="Word.Picture.8" ShapeID="_x0000_i1025" DrawAspect="Content" ObjectID="_1729500163" r:id="rId7"/>
        </w:object>
      </w:r>
    </w:p>
    <w:p w:rsidR="00C8609C" w:rsidRPr="00C8609C" w:rsidRDefault="00C8609C" w:rsidP="00C8609C">
      <w:pPr>
        <w:suppressAutoHyphens w:val="0"/>
        <w:spacing w:before="60" w:after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Рис.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.1. Досконалі свердловини: а – напірний, б – безнапірний пласт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720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C8609C" w:rsidRPr="00C8609C" w:rsidRDefault="00C8609C" w:rsidP="00C8609C">
      <w:pPr>
        <w:numPr>
          <w:ilvl w:val="1"/>
          <w:numId w:val="3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C8609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Досконала безнапірна свердловина.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b/>
          <w:sz w:val="24"/>
          <w:szCs w:val="24"/>
          <w:lang w:eastAsia="ru-RU"/>
        </w:rPr>
        <w:t>Завдання №</w:t>
      </w:r>
      <w:r w:rsidR="00830688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. За своїм варіантом із табл. 1. визначити дебіт ґрунтової свердловини. Відповідь на завдання №8 слід супроводжувати схемою притоку води до досконалої ґрунтової свердловини. При цьому буквені позначення на схемі необхідно замінити їх числовими значеннями. 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Дебіт безнапірної (ґрунтової) свердловини з круговим контуром живлення при горизонтальному заляганні </w:t>
      </w:r>
      <w:proofErr w:type="spellStart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водотриву</w:t>
      </w:r>
      <w:proofErr w:type="spell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обчислюється за формулою </w:t>
      </w:r>
      <w:proofErr w:type="spellStart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Дюпюї</w:t>
      </w:r>
      <w:proofErr w:type="spell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21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position w:val="-54"/>
          <w:sz w:val="24"/>
          <w:szCs w:val="24"/>
          <w:lang w:val="ru-RU" w:eastAsia="ru-RU"/>
        </w:rPr>
        <w:object w:dxaOrig="2020" w:dyaOrig="920">
          <v:shape id="_x0000_i1026" type="#_x0000_t75" style="width:101.25pt;height:45.75pt" o:ole="">
            <v:imagedata r:id="rId8" o:title=""/>
          </v:shape>
          <o:OLEObject Type="Embed" ProgID="Equation.3" ShapeID="_x0000_i1026" DrawAspect="Content" ObjectID="_1729500164" r:id="rId9"/>
        </w:object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(1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8609C" w:rsidRPr="00C8609C" w:rsidRDefault="00830688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 формули (</w:t>
      </w:r>
      <w:r w:rsidRPr="0083068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) видно, що основними чинниками, що впливають на дебіт ґрунтової свердловини, є коефіцієнт фільтрації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</w:t>
      </w:r>
      <w:r w:rsidR="00C8609C" w:rsidRPr="00C8609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товщина водоносного горизонту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h 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 пониження рівня води в свердловині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. Зміна радіусу впливу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R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 радіусу свердловини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r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позначається незначно на дебіті. Це пояснюється тим, що величини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R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r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>входять в розрахункову формулу під знаком логарифма. Збільшення радіусу свердловини в два рази збільшує дебіт їх тільки на 11%, а при збільшенні радіусу в три рази дебіт збільшується на 25%.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Величини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h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r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визначаються шляхом звичайного вимірювання їх в свердловині. Коефіцієнт фільтрації </w:t>
      </w:r>
      <w:r w:rsidRPr="00C8609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визначають, досліджуючи водоносну породу в лабораторії, або за наслідками польових дослідно-фільтраційних робіт (відкачки, наливи і нагнітання).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Радіус впливу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R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визначають на основі вимірювання рівнів води при відкачках в спостережних свердловинах або за допомогою емпіричної формули </w:t>
      </w:r>
      <w:proofErr w:type="spellStart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Кусакіна</w:t>
      </w:r>
      <w:proofErr w:type="spell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21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C8609C">
        <w:rPr>
          <w:rFonts w:ascii="Times New Roman" w:eastAsia="Times New Roman" w:hAnsi="Times New Roman"/>
          <w:position w:val="-6"/>
          <w:sz w:val="24"/>
          <w:szCs w:val="24"/>
          <w:lang w:val="ru-RU" w:eastAsia="ru-RU"/>
        </w:rPr>
        <w:object w:dxaOrig="1180" w:dyaOrig="340">
          <v:shape id="_x0000_i1027" type="#_x0000_t75" style="width:59.25pt;height:17.25pt" o:ole="">
            <v:imagedata r:id="rId10" o:title=""/>
          </v:shape>
          <o:OLEObject Type="Embed" ProgID="Equation.3" ShapeID="_x0000_i1027" DrawAspect="Content" ObjectID="_1729500165" r:id="rId11"/>
        </w:object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(</w:t>
      </w:r>
      <w:r w:rsidR="00830688">
        <w:rPr>
          <w:rFonts w:ascii="Times New Roman" w:eastAsia="Times New Roman" w:hAnsi="Times New Roman"/>
          <w:sz w:val="24"/>
          <w:szCs w:val="24"/>
          <w:lang w:val="ru-RU" w:eastAsia="ru-RU"/>
        </w:rPr>
        <w:t>2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21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де: 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– пониження рівня води в свердловині при відкачці, м;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h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– товщина водоносного горизонту, м;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C8609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 –</w:t>
      </w:r>
      <w:proofErr w:type="gram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коефіцієнт фільтрації, м/</w:t>
      </w:r>
      <w:proofErr w:type="spellStart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доб</w:t>
      </w:r>
      <w:proofErr w:type="spell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numPr>
          <w:ilvl w:val="1"/>
          <w:numId w:val="3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C8609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Досконала артезіанська свердловина.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45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b/>
          <w:sz w:val="24"/>
          <w:szCs w:val="24"/>
          <w:lang w:eastAsia="ru-RU"/>
        </w:rPr>
        <w:t>Завдання №</w:t>
      </w:r>
      <w:r w:rsidR="00830688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За своїм варіантом із табл.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2. визначити дебіт досконалої артезіанської свердловини. Відповідь на завдання №9 слід супроводжувати схемою притоку води до досконалої артезіанської свердловини. При цьому буквені позначення на схемі необхідно замінити їх числовими значеннями. 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Дебіт артезіанської свердловини з круговим контуром живлення при горизонтальному заляганні </w:t>
      </w:r>
      <w:proofErr w:type="spellStart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водотриву</w:t>
      </w:r>
      <w:proofErr w:type="spell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обчислюється за формулою </w:t>
      </w:r>
      <w:proofErr w:type="spellStart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Дюпюї</w:t>
      </w:r>
      <w:proofErr w:type="spell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21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position w:val="-54"/>
          <w:sz w:val="24"/>
          <w:szCs w:val="24"/>
          <w:lang w:val="ru-RU" w:eastAsia="ru-RU"/>
        </w:rPr>
        <w:object w:dxaOrig="1420" w:dyaOrig="920">
          <v:shape id="_x0000_i1028" type="#_x0000_t75" style="width:71.25pt;height:45.75pt" o:ole="">
            <v:imagedata r:id="rId12" o:title=""/>
          </v:shape>
          <o:OLEObject Type="Embed" ProgID="Equation.3" ShapeID="_x0000_i1028" DrawAspect="Content" ObjectID="_1729500166" r:id="rId13"/>
        </w:object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(</w:t>
      </w:r>
      <w:r w:rsidR="00830688" w:rsidRPr="0083068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8609C" w:rsidRPr="00C8609C" w:rsidRDefault="00830688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 формули (</w:t>
      </w:r>
      <w:r w:rsidRPr="0083068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) видно, що основними чинниками, що впливають на дебіт артезіанської свердловини, є коефіцієнт фільтрації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</w:t>
      </w:r>
      <w:r w:rsidR="00C8609C" w:rsidRPr="00C8609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товщина водоносного горизонту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ru-RU"/>
        </w:rPr>
        <w:t>М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 і пониження рівня води в свердловині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. Зміна радіусу впливу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R 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 радіусу свердловини </w:t>
      </w:r>
      <w:r w:rsidR="00C8609C"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r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незначно </w:t>
      </w:r>
      <w:r w:rsidR="00C8609C" w:rsidRPr="00C8609C">
        <w:rPr>
          <w:rFonts w:ascii="Times New Roman" w:eastAsia="Times New Roman" w:hAnsi="Times New Roman"/>
          <w:sz w:val="24"/>
          <w:szCs w:val="24"/>
          <w:lang w:eastAsia="ru-RU"/>
        </w:rPr>
        <w:t>позначається на дебіті свердловини.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Величини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ru-RU"/>
        </w:rPr>
        <w:t>М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r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визначаються шляхом звичайного вимірювання їх в свердловині. Коефіцієнт фільтрації </w:t>
      </w:r>
      <w:r w:rsidRPr="00C8609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визначають, досліджуючи водоносну породу в лабораторії або за наслідками польових дослідно-фільтраційних робіт (відкачки, наливи і нагнітання).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Радіус впливу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R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визначають на основі вимірювання рівнів води при відкачці в спостережних свердловинах або за допомогою емпіричної формули </w:t>
      </w:r>
      <w:proofErr w:type="spellStart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Зіхарта</w:t>
      </w:r>
      <w:proofErr w:type="spell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21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C8609C">
        <w:rPr>
          <w:rFonts w:ascii="Times New Roman" w:eastAsia="Times New Roman" w:hAnsi="Times New Roman"/>
          <w:position w:val="-6"/>
          <w:sz w:val="24"/>
          <w:szCs w:val="24"/>
          <w:lang w:val="ru-RU" w:eastAsia="ru-RU"/>
        </w:rPr>
        <w:object w:dxaOrig="1420" w:dyaOrig="340">
          <v:shape id="_x0000_i1029" type="#_x0000_t75" style="width:71.25pt;height:17.25pt" o:ole="">
            <v:imagedata r:id="rId14" o:title=""/>
          </v:shape>
          <o:OLEObject Type="Embed" ProgID="Equation.3" ShapeID="_x0000_i1029" DrawAspect="Content" ObjectID="_1729500167" r:id="rId15"/>
        </w:objec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609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</w:t>
      </w:r>
      <w:r w:rsidR="0083068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(</w:t>
      </w:r>
      <w:r w:rsidR="00830688">
        <w:rPr>
          <w:rFonts w:ascii="Times New Roman" w:eastAsia="Times New Roman" w:hAnsi="Times New Roman"/>
          <w:sz w:val="24"/>
          <w:szCs w:val="24"/>
          <w:lang w:val="ru-RU" w:eastAsia="ru-RU"/>
        </w:rPr>
        <w:t>4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21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де: 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– пониження рівня води в свердловині при відкачці, м;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C8609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–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коефіцієнт</w:t>
      </w:r>
      <w:proofErr w:type="gramEnd"/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фільтрації, м/с.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Аналіз формули (20) показує, що між дебітом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Q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 пониженням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існує лінійна залежність: 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left="21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position w:val="-30"/>
          <w:sz w:val="24"/>
          <w:szCs w:val="24"/>
          <w:lang w:val="ru-RU" w:eastAsia="ru-RU"/>
        </w:rPr>
        <w:object w:dxaOrig="940" w:dyaOrig="700">
          <v:shape id="_x0000_i1030" type="#_x0000_t75" style="width:47.25pt;height:35.25pt" o:ole="">
            <v:imagedata r:id="rId16" o:title=""/>
          </v:shape>
          <o:OLEObject Type="Embed" ProgID="Equation.3" ShapeID="_x0000_i1030" DrawAspect="Content" ObjectID="_1729500168" r:id="rId17"/>
        </w:objec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 або </w:t>
      </w:r>
      <w:r w:rsidRPr="00C8609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C8609C">
        <w:rPr>
          <w:rFonts w:ascii="Times New Roman" w:eastAsia="Times New Roman" w:hAnsi="Times New Roman"/>
          <w:position w:val="-30"/>
          <w:sz w:val="24"/>
          <w:szCs w:val="24"/>
          <w:lang w:val="ru-RU" w:eastAsia="ru-RU"/>
        </w:rPr>
        <w:object w:dxaOrig="1200" w:dyaOrig="700">
          <v:shape id="_x0000_i1031" type="#_x0000_t75" style="width:60pt;height:35.25pt" o:ole="">
            <v:imagedata r:id="rId18" o:title=""/>
          </v:shape>
          <o:OLEObject Type="Embed" ProgID="Equation.3" ShapeID="_x0000_i1031" DrawAspect="Content" ObjectID="_1729500169" r:id="rId19"/>
        </w:objec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(22)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Проте на практиці визначено, що лінійна залежність між дебітом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Q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і пониженням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Pr="00C8609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буває тільки при невеликих значеннях пониження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S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 xml:space="preserve">, коли воно не перевищують 30-40% величини напору </w:t>
      </w:r>
      <w:r w:rsidRPr="00C8609C">
        <w:rPr>
          <w:rFonts w:ascii="Times New Roman" w:eastAsia="Times New Roman" w:hAnsi="Times New Roman"/>
          <w:i/>
          <w:sz w:val="24"/>
          <w:szCs w:val="24"/>
          <w:lang w:eastAsia="uk-UA"/>
        </w:rPr>
        <w:t>H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Таблиця </w:t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t>1.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Дані для визначення дебіту досконалої безнапірної свердловини.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275"/>
        <w:gridCol w:w="1843"/>
        <w:gridCol w:w="1843"/>
        <w:gridCol w:w="992"/>
        <w:gridCol w:w="1276"/>
      </w:tblGrid>
      <w:tr w:rsidR="00C8609C" w:rsidRPr="00C8609C" w:rsidTr="001B582D">
        <w:trPr>
          <w:cantSplit/>
          <w:trHeight w:val="175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варіанту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Абсолютна позначка гирла  </w:t>
            </w:r>
            <w:proofErr w:type="spellStart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сверд-ловини</w:t>
            </w:r>
            <w:proofErr w:type="spellEnd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Абсолютна позначка крівлі </w:t>
            </w:r>
            <w:proofErr w:type="spellStart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водотриву</w:t>
            </w:r>
            <w:proofErr w:type="spellEnd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Глибина залягання статичного рівня ґрунтових вод,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Пониження рівня</w:t>
            </w:r>
          </w:p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води в свердловині,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Діаметр свердловини,</w:t>
            </w:r>
          </w:p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Коефіцієнт фільтрації,  м/</w:t>
            </w:r>
            <w:proofErr w:type="spellStart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</w:t>
            </w:r>
            <w:proofErr w:type="spellEnd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4,2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11,4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C8609C" w:rsidRPr="00C8609C" w:rsidTr="001B582D">
        <w:trPr>
          <w:trHeight w:val="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</w:tbl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609C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C860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609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C860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Таблиця 2. 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860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Дані для визначення дебіту досконалої артезіанської свердловини.</w:t>
      </w:r>
    </w:p>
    <w:p w:rsidR="00C8609C" w:rsidRPr="00C8609C" w:rsidRDefault="00C8609C" w:rsidP="00C8609C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1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251"/>
        <w:gridCol w:w="1323"/>
        <w:gridCol w:w="1276"/>
        <w:gridCol w:w="1275"/>
        <w:gridCol w:w="1642"/>
        <w:gridCol w:w="992"/>
        <w:gridCol w:w="1005"/>
      </w:tblGrid>
      <w:tr w:rsidR="00C8609C" w:rsidRPr="00C8609C" w:rsidTr="001B582D">
        <w:trPr>
          <w:trHeight w:val="103"/>
          <w:jc w:val="center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варіанту</w:t>
            </w:r>
          </w:p>
        </w:tc>
        <w:tc>
          <w:tcPr>
            <w:tcW w:w="12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Абсолютна позначка гирла свердловини, м</w:t>
            </w:r>
          </w:p>
        </w:tc>
        <w:tc>
          <w:tcPr>
            <w:tcW w:w="5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Глибина залягання, м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Діаметр</w:t>
            </w:r>
          </w:p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свердловини, мм</w:t>
            </w:r>
          </w:p>
        </w:tc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Коефіцієнт фільтрації, м/</w:t>
            </w:r>
            <w:proofErr w:type="spellStart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</w:t>
            </w:r>
            <w:proofErr w:type="spellEnd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8609C" w:rsidRPr="00C8609C" w:rsidTr="001B582D">
        <w:trPr>
          <w:cantSplit/>
          <w:trHeight w:val="1574"/>
          <w:jc w:val="center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п'єзометрич-ного</w:t>
            </w:r>
            <w:proofErr w:type="spellEnd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рівня,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підошви верхнього </w:t>
            </w:r>
            <w:proofErr w:type="spellStart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водотриву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крівлі нижнього </w:t>
            </w:r>
            <w:proofErr w:type="spellStart"/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водотриву</w:t>
            </w:r>
            <w:proofErr w:type="spellEnd"/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динамічного рівня при відкачуванні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C8609C" w:rsidRPr="00C8609C" w:rsidTr="001B582D">
        <w:trPr>
          <w:trHeight w:val="77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391,4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9,5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197,7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275,3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9,1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16,4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168,7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2,85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6,3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144,7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9,2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13.4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161,8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C8609C" w:rsidRPr="00C8609C" w:rsidTr="001B582D">
        <w:trPr>
          <w:trHeight w:val="6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C" w:rsidRPr="00C8609C" w:rsidRDefault="00C8609C" w:rsidP="00C8609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0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7,85</w:t>
            </w:r>
          </w:p>
        </w:tc>
      </w:tr>
    </w:tbl>
    <w:p w:rsidR="00C8609C" w:rsidRPr="00C8609C" w:rsidRDefault="00C8609C" w:rsidP="00C8609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2576EF" w:rsidRDefault="002576EF" w:rsidP="00C8609C"/>
    <w:sectPr w:rsidR="00257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58C68CB"/>
    <w:multiLevelType w:val="multilevel"/>
    <w:tmpl w:val="533E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9C"/>
    <w:rsid w:val="00131B21"/>
    <w:rsid w:val="001F7174"/>
    <w:rsid w:val="002576EF"/>
    <w:rsid w:val="00615CE4"/>
    <w:rsid w:val="00710F5E"/>
    <w:rsid w:val="00830688"/>
    <w:rsid w:val="00C8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F5E"/>
    <w:pPr>
      <w:suppressAutoHyphens/>
    </w:pPr>
    <w:rPr>
      <w:rFonts w:ascii="Calibri" w:hAnsi="Calibri"/>
      <w:sz w:val="22"/>
      <w:szCs w:val="22"/>
      <w:lang w:val="uk-UA" w:eastAsia="zh-CN"/>
    </w:rPr>
  </w:style>
  <w:style w:type="paragraph" w:styleId="1">
    <w:name w:val="heading 1"/>
    <w:basedOn w:val="a"/>
    <w:next w:val="a0"/>
    <w:link w:val="10"/>
    <w:qFormat/>
    <w:rsid w:val="00710F5E"/>
    <w:pPr>
      <w:spacing w:before="280" w:after="280"/>
      <w:outlineLvl w:val="0"/>
    </w:pPr>
    <w:rPr>
      <w:rFonts w:ascii="Times New Roman" w:eastAsia="Times New Roman" w:hAnsi="Times New Roman"/>
      <w:b/>
      <w:bCs/>
      <w:kern w:val="1"/>
      <w:sz w:val="48"/>
      <w:szCs w:val="48"/>
      <w:lang w:val="ru-RU"/>
    </w:rPr>
  </w:style>
  <w:style w:type="paragraph" w:styleId="2">
    <w:name w:val="heading 2"/>
    <w:basedOn w:val="a"/>
    <w:next w:val="a"/>
    <w:link w:val="20"/>
    <w:qFormat/>
    <w:rsid w:val="00710F5E"/>
    <w:pPr>
      <w:keepNext/>
      <w:outlineLvl w:val="1"/>
    </w:pPr>
    <w:rPr>
      <w:sz w:val="24"/>
      <w:lang w:val="en-US"/>
    </w:rPr>
  </w:style>
  <w:style w:type="paragraph" w:styleId="3">
    <w:name w:val="heading 3"/>
    <w:basedOn w:val="a"/>
    <w:next w:val="a0"/>
    <w:link w:val="30"/>
    <w:qFormat/>
    <w:rsid w:val="00710F5E"/>
    <w:pPr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710F5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10F5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10F5E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qFormat/>
    <w:rsid w:val="00710F5E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710F5E"/>
    <w:rPr>
      <w:b/>
      <w:bCs/>
      <w:kern w:val="1"/>
      <w:sz w:val="48"/>
      <w:szCs w:val="48"/>
      <w:lang w:eastAsia="zh-CN"/>
    </w:rPr>
  </w:style>
  <w:style w:type="paragraph" w:styleId="a0">
    <w:name w:val="Body Text"/>
    <w:basedOn w:val="a"/>
    <w:link w:val="a5"/>
    <w:rsid w:val="00710F5E"/>
    <w:pPr>
      <w:spacing w:after="120"/>
    </w:pPr>
  </w:style>
  <w:style w:type="character" w:customStyle="1" w:styleId="a5">
    <w:name w:val="Основной текст Знак"/>
    <w:basedOn w:val="a1"/>
    <w:link w:val="a0"/>
    <w:rsid w:val="00710F5E"/>
    <w:rPr>
      <w:rFonts w:ascii="Calibri" w:eastAsia="Calibri" w:hAnsi="Calibri"/>
      <w:sz w:val="22"/>
      <w:szCs w:val="22"/>
      <w:lang w:val="uk-UA" w:eastAsia="zh-CN"/>
    </w:rPr>
  </w:style>
  <w:style w:type="character" w:customStyle="1" w:styleId="20">
    <w:name w:val="Заголовок 2 Знак"/>
    <w:basedOn w:val="a1"/>
    <w:link w:val="2"/>
    <w:rsid w:val="00710F5E"/>
    <w:rPr>
      <w:rFonts w:ascii="Calibri" w:eastAsia="Calibri" w:hAnsi="Calibri"/>
      <w:sz w:val="24"/>
      <w:szCs w:val="22"/>
      <w:lang w:val="en-US" w:eastAsia="zh-CN"/>
    </w:rPr>
  </w:style>
  <w:style w:type="character" w:customStyle="1" w:styleId="30">
    <w:name w:val="Заголовок 3 Знак"/>
    <w:basedOn w:val="a1"/>
    <w:link w:val="3"/>
    <w:rsid w:val="00710F5E"/>
    <w:rPr>
      <w:b/>
      <w:bCs/>
      <w:sz w:val="28"/>
      <w:szCs w:val="28"/>
      <w:lang w:val="uk-UA" w:eastAsia="zh-CN"/>
    </w:rPr>
  </w:style>
  <w:style w:type="character" w:customStyle="1" w:styleId="70">
    <w:name w:val="Заголовок 7 Знак"/>
    <w:basedOn w:val="a1"/>
    <w:link w:val="7"/>
    <w:rsid w:val="00710F5E"/>
    <w:rPr>
      <w:rFonts w:eastAsia="Calibri"/>
      <w:sz w:val="24"/>
      <w:szCs w:val="24"/>
      <w:lang w:val="uk-UA" w:eastAsia="zh-CN"/>
    </w:rPr>
  </w:style>
  <w:style w:type="character" w:customStyle="1" w:styleId="80">
    <w:name w:val="Заголовок 8 Знак"/>
    <w:basedOn w:val="a1"/>
    <w:link w:val="8"/>
    <w:rsid w:val="00710F5E"/>
    <w:rPr>
      <w:rFonts w:eastAsia="Calibri"/>
      <w:i/>
      <w:iCs/>
      <w:sz w:val="24"/>
      <w:szCs w:val="24"/>
      <w:lang w:val="uk-UA" w:eastAsia="zh-CN"/>
    </w:rPr>
  </w:style>
  <w:style w:type="character" w:customStyle="1" w:styleId="90">
    <w:name w:val="Заголовок 9 Знак"/>
    <w:basedOn w:val="a1"/>
    <w:link w:val="9"/>
    <w:rsid w:val="00710F5E"/>
    <w:rPr>
      <w:rFonts w:ascii="Arial" w:eastAsia="Calibri" w:hAnsi="Arial" w:cs="Arial"/>
      <w:sz w:val="22"/>
      <w:szCs w:val="22"/>
      <w:lang w:val="uk-UA" w:eastAsia="zh-CN"/>
    </w:rPr>
  </w:style>
  <w:style w:type="paragraph" w:styleId="a6">
    <w:name w:val="caption"/>
    <w:basedOn w:val="a"/>
    <w:qFormat/>
    <w:rsid w:val="00710F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Subtitle"/>
    <w:basedOn w:val="a"/>
    <w:next w:val="a"/>
    <w:link w:val="a8"/>
    <w:qFormat/>
    <w:rsid w:val="00710F5E"/>
    <w:pPr>
      <w:spacing w:after="60"/>
      <w:jc w:val="center"/>
    </w:pPr>
    <w:rPr>
      <w:rFonts w:ascii="Cambria" w:eastAsia="Times New Roman" w:hAnsi="Cambria"/>
      <w:sz w:val="24"/>
      <w:szCs w:val="24"/>
    </w:rPr>
  </w:style>
  <w:style w:type="character" w:customStyle="1" w:styleId="a8">
    <w:name w:val="Подзаголовок Знак"/>
    <w:basedOn w:val="a1"/>
    <w:link w:val="a7"/>
    <w:rsid w:val="00710F5E"/>
    <w:rPr>
      <w:rFonts w:ascii="Cambria" w:hAnsi="Cambria"/>
      <w:sz w:val="24"/>
      <w:szCs w:val="24"/>
      <w:lang w:val="uk-UA" w:eastAsia="zh-CN"/>
    </w:rPr>
  </w:style>
  <w:style w:type="character" w:styleId="a9">
    <w:name w:val="Strong"/>
    <w:qFormat/>
    <w:rsid w:val="00710F5E"/>
    <w:rPr>
      <w:b/>
      <w:bCs/>
    </w:rPr>
  </w:style>
  <w:style w:type="paragraph" w:styleId="aa">
    <w:name w:val="Balloon Text"/>
    <w:basedOn w:val="a"/>
    <w:link w:val="ab"/>
    <w:rsid w:val="00C860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C8609C"/>
    <w:rPr>
      <w:rFonts w:ascii="Tahoma" w:hAnsi="Tahoma" w:cs="Tahoma"/>
      <w:sz w:val="16"/>
      <w:szCs w:val="16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F5E"/>
    <w:pPr>
      <w:suppressAutoHyphens/>
    </w:pPr>
    <w:rPr>
      <w:rFonts w:ascii="Calibri" w:hAnsi="Calibri"/>
      <w:sz w:val="22"/>
      <w:szCs w:val="22"/>
      <w:lang w:val="uk-UA" w:eastAsia="zh-CN"/>
    </w:rPr>
  </w:style>
  <w:style w:type="paragraph" w:styleId="1">
    <w:name w:val="heading 1"/>
    <w:basedOn w:val="a"/>
    <w:next w:val="a0"/>
    <w:link w:val="10"/>
    <w:qFormat/>
    <w:rsid w:val="00710F5E"/>
    <w:pPr>
      <w:spacing w:before="280" w:after="280"/>
      <w:outlineLvl w:val="0"/>
    </w:pPr>
    <w:rPr>
      <w:rFonts w:ascii="Times New Roman" w:eastAsia="Times New Roman" w:hAnsi="Times New Roman"/>
      <w:b/>
      <w:bCs/>
      <w:kern w:val="1"/>
      <w:sz w:val="48"/>
      <w:szCs w:val="48"/>
      <w:lang w:val="ru-RU"/>
    </w:rPr>
  </w:style>
  <w:style w:type="paragraph" w:styleId="2">
    <w:name w:val="heading 2"/>
    <w:basedOn w:val="a"/>
    <w:next w:val="a"/>
    <w:link w:val="20"/>
    <w:qFormat/>
    <w:rsid w:val="00710F5E"/>
    <w:pPr>
      <w:keepNext/>
      <w:outlineLvl w:val="1"/>
    </w:pPr>
    <w:rPr>
      <w:sz w:val="24"/>
      <w:lang w:val="en-US"/>
    </w:rPr>
  </w:style>
  <w:style w:type="paragraph" w:styleId="3">
    <w:name w:val="heading 3"/>
    <w:basedOn w:val="a"/>
    <w:next w:val="a0"/>
    <w:link w:val="30"/>
    <w:qFormat/>
    <w:rsid w:val="00710F5E"/>
    <w:pPr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710F5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10F5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10F5E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qFormat/>
    <w:rsid w:val="00710F5E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710F5E"/>
    <w:rPr>
      <w:b/>
      <w:bCs/>
      <w:kern w:val="1"/>
      <w:sz w:val="48"/>
      <w:szCs w:val="48"/>
      <w:lang w:eastAsia="zh-CN"/>
    </w:rPr>
  </w:style>
  <w:style w:type="paragraph" w:styleId="a0">
    <w:name w:val="Body Text"/>
    <w:basedOn w:val="a"/>
    <w:link w:val="a5"/>
    <w:rsid w:val="00710F5E"/>
    <w:pPr>
      <w:spacing w:after="120"/>
    </w:pPr>
  </w:style>
  <w:style w:type="character" w:customStyle="1" w:styleId="a5">
    <w:name w:val="Основной текст Знак"/>
    <w:basedOn w:val="a1"/>
    <w:link w:val="a0"/>
    <w:rsid w:val="00710F5E"/>
    <w:rPr>
      <w:rFonts w:ascii="Calibri" w:eastAsia="Calibri" w:hAnsi="Calibri"/>
      <w:sz w:val="22"/>
      <w:szCs w:val="22"/>
      <w:lang w:val="uk-UA" w:eastAsia="zh-CN"/>
    </w:rPr>
  </w:style>
  <w:style w:type="character" w:customStyle="1" w:styleId="20">
    <w:name w:val="Заголовок 2 Знак"/>
    <w:basedOn w:val="a1"/>
    <w:link w:val="2"/>
    <w:rsid w:val="00710F5E"/>
    <w:rPr>
      <w:rFonts w:ascii="Calibri" w:eastAsia="Calibri" w:hAnsi="Calibri"/>
      <w:sz w:val="24"/>
      <w:szCs w:val="22"/>
      <w:lang w:val="en-US" w:eastAsia="zh-CN"/>
    </w:rPr>
  </w:style>
  <w:style w:type="character" w:customStyle="1" w:styleId="30">
    <w:name w:val="Заголовок 3 Знак"/>
    <w:basedOn w:val="a1"/>
    <w:link w:val="3"/>
    <w:rsid w:val="00710F5E"/>
    <w:rPr>
      <w:b/>
      <w:bCs/>
      <w:sz w:val="28"/>
      <w:szCs w:val="28"/>
      <w:lang w:val="uk-UA" w:eastAsia="zh-CN"/>
    </w:rPr>
  </w:style>
  <w:style w:type="character" w:customStyle="1" w:styleId="70">
    <w:name w:val="Заголовок 7 Знак"/>
    <w:basedOn w:val="a1"/>
    <w:link w:val="7"/>
    <w:rsid w:val="00710F5E"/>
    <w:rPr>
      <w:rFonts w:eastAsia="Calibri"/>
      <w:sz w:val="24"/>
      <w:szCs w:val="24"/>
      <w:lang w:val="uk-UA" w:eastAsia="zh-CN"/>
    </w:rPr>
  </w:style>
  <w:style w:type="character" w:customStyle="1" w:styleId="80">
    <w:name w:val="Заголовок 8 Знак"/>
    <w:basedOn w:val="a1"/>
    <w:link w:val="8"/>
    <w:rsid w:val="00710F5E"/>
    <w:rPr>
      <w:rFonts w:eastAsia="Calibri"/>
      <w:i/>
      <w:iCs/>
      <w:sz w:val="24"/>
      <w:szCs w:val="24"/>
      <w:lang w:val="uk-UA" w:eastAsia="zh-CN"/>
    </w:rPr>
  </w:style>
  <w:style w:type="character" w:customStyle="1" w:styleId="90">
    <w:name w:val="Заголовок 9 Знак"/>
    <w:basedOn w:val="a1"/>
    <w:link w:val="9"/>
    <w:rsid w:val="00710F5E"/>
    <w:rPr>
      <w:rFonts w:ascii="Arial" w:eastAsia="Calibri" w:hAnsi="Arial" w:cs="Arial"/>
      <w:sz w:val="22"/>
      <w:szCs w:val="22"/>
      <w:lang w:val="uk-UA" w:eastAsia="zh-CN"/>
    </w:rPr>
  </w:style>
  <w:style w:type="paragraph" w:styleId="a6">
    <w:name w:val="caption"/>
    <w:basedOn w:val="a"/>
    <w:qFormat/>
    <w:rsid w:val="00710F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Subtitle"/>
    <w:basedOn w:val="a"/>
    <w:next w:val="a"/>
    <w:link w:val="a8"/>
    <w:qFormat/>
    <w:rsid w:val="00710F5E"/>
    <w:pPr>
      <w:spacing w:after="60"/>
      <w:jc w:val="center"/>
    </w:pPr>
    <w:rPr>
      <w:rFonts w:ascii="Cambria" w:eastAsia="Times New Roman" w:hAnsi="Cambria"/>
      <w:sz w:val="24"/>
      <w:szCs w:val="24"/>
    </w:rPr>
  </w:style>
  <w:style w:type="character" w:customStyle="1" w:styleId="a8">
    <w:name w:val="Подзаголовок Знак"/>
    <w:basedOn w:val="a1"/>
    <w:link w:val="a7"/>
    <w:rsid w:val="00710F5E"/>
    <w:rPr>
      <w:rFonts w:ascii="Cambria" w:hAnsi="Cambria"/>
      <w:sz w:val="24"/>
      <w:szCs w:val="24"/>
      <w:lang w:val="uk-UA" w:eastAsia="zh-CN"/>
    </w:rPr>
  </w:style>
  <w:style w:type="character" w:styleId="a9">
    <w:name w:val="Strong"/>
    <w:qFormat/>
    <w:rsid w:val="00710F5E"/>
    <w:rPr>
      <w:b/>
      <w:bCs/>
    </w:rPr>
  </w:style>
  <w:style w:type="paragraph" w:styleId="aa">
    <w:name w:val="Balloon Text"/>
    <w:basedOn w:val="a"/>
    <w:link w:val="ab"/>
    <w:rsid w:val="00C860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C8609C"/>
    <w:rPr>
      <w:rFonts w:ascii="Tahoma" w:hAnsi="Tahoma" w:cs="Tahoma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Виктория</cp:lastModifiedBy>
  <cp:revision>3</cp:revision>
  <cp:lastPrinted>2017-03-20T10:47:00Z</cp:lastPrinted>
  <dcterms:created xsi:type="dcterms:W3CDTF">2017-03-20T10:45:00Z</dcterms:created>
  <dcterms:modified xsi:type="dcterms:W3CDTF">2022-11-09T09:56:00Z</dcterms:modified>
</cp:coreProperties>
</file>